
<file path=[Content_Types].xml><?xml version="1.0" encoding="utf-8"?>
<Types xmlns="http://schemas.openxmlformats.org/package/2006/content-types">
  <Default Extension="xml" ContentType="application/vnd.openxmlformats-officedocument.wordprocessingml.document.main+xml"/>
  <Default Extension="rels" ContentType="application/vnd.openxmlformats-package.relationships+xml"/>
  <Override PartName="/word/styles.xml" ContentType="application/vnd.openxmlformats-officedocument.wordprocessingml.styl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bd21079bd6940e8" /></Relationships>
</file>

<file path=word/document.xml><?xml version="1.0" encoding="utf-8"?>
<w:document xmlns:w="http://schemas.openxmlformats.org/wordprocessingml/2006/main">
  <w:body>
    <w:tbl>
      <w:tblPr>
        <w:tblW w:w="9000" w:type="dxa"/>
        <w:tblBorders>
          <w:top w:val="nil"/>
          <w:bottom w:val="nil"/>
          <w:left w:val="nil"/>
          <w:right w:val="nil"/>
          <w:insideH w:val="nil"/>
          <w:insideV w:val="nil"/>
        </w:tblBorders>
        <w:tblCellSpacing w:w="60" w:type="dxa"/>
        <w:shd w:val="clear" w:color="auto" w:fill="E7F0F9"/>
      </w:tblPr>
      <w:tblGrid>
        <w:gridCol w:w="1200"/>
        <w:gridCol w:w="4500"/>
      </w:tblGrid>
      <w:tr>
        <w:tc>
          <w:tcPr>
            <w:tcW w:w="1200" w:type="pct"/>
            <w:shd w:val="clear" w:color="auto" w:fill="E7F0F9"/>
          </w:tcPr>
          <w:p>
            <w:pPr>
              <w:spacing w:before="0" w:after="0" w:line="240" w:lineRule="auto"/>
              <w:jc w:val="left"/>
            </w:pPr>
            <w:r>
              <w:rPr>
                <w:b/>
              </w:rPr>
              <w:t xml:space="preserve">RKP broj</w:t>
            </w:r>
          </w:p>
        </w:tc>
        <w:tc>
          <w:tcPr>
            <w:shd w:val="clear" w:color="auto" w:fill="E7F0F9"/>
          </w:tcPr>
          <w:p>
            <w:pPr>
              <w:spacing w:before="0" w:after="0" w:line="240" w:lineRule="auto"/>
              <w:jc w:val="left"/>
            </w:pPr>
            <w:r>
              <w:t xml:space="preserve">37496</w:t>
            </w:r>
          </w:p>
        </w:tc>
      </w:tr>
      <w:tr>
        <w:tc>
          <w:tcPr>
            <w:tcW w:w="1200" w:type="pct"/>
            <w:shd w:val="clear" w:color="auto" w:fill="E7F0F9"/>
          </w:tcPr>
          <w:p>
            <w:pPr>
              <w:spacing w:before="0" w:after="0" w:line="240" w:lineRule="auto"/>
              <w:jc w:val="left"/>
            </w:pPr>
            <w:r>
              <w:rPr>
                <w:b/>
              </w:rPr>
              <w:t xml:space="preserve">Naziv obveznika</w:t>
            </w:r>
          </w:p>
        </w:tc>
        <w:tc>
          <w:tcPr>
            <w:shd w:val="clear" w:color="auto" w:fill="E7F0F9"/>
          </w:tcPr>
          <w:p>
            <w:pPr>
              <w:spacing w:before="0" w:after="0" w:line="240" w:lineRule="auto"/>
              <w:jc w:val="left"/>
            </w:pPr>
            <w:r>
              <w:t xml:space="preserve">Gradski muzej Županja</w:t>
            </w:r>
          </w:p>
        </w:tc>
      </w:tr>
      <w:tr>
        <w:tc>
          <w:tcPr>
            <w:tcW w:w="1200" w:type="pct"/>
            <w:shd w:val="clear" w:color="auto" w:fill="E7F0F9"/>
          </w:tcPr>
          <w:p>
            <w:pPr>
              <w:spacing w:before="0" w:after="0" w:line="240" w:lineRule="auto"/>
              <w:jc w:val="left"/>
            </w:pPr>
            <w:r>
              <w:rPr>
                <w:b/>
              </w:rPr>
              <w:t xml:space="preserve">Razina</w:t>
            </w:r>
          </w:p>
        </w:tc>
        <w:tc>
          <w:tcPr>
            <w:shd w:val="clear" w:color="auto" w:fill="E7F0F9"/>
          </w:tcPr>
          <w:p>
            <w:pPr>
              <w:spacing w:before="0" w:after="0" w:line="240" w:lineRule="auto"/>
              <w:jc w:val="left"/>
            </w:pPr>
            <w:r>
              <w:t xml:space="preserve">21</w:t>
            </w:r>
          </w:p>
        </w:tc>
      </w:tr>
    </w:tbl>
    <w:p>
      <w:r>
        <w:br/>
      </w:r>
    </w:p>
    <w:p>
      <w:pPr>
        <w:jc w:val="center"/>
        <w:pStyle w:val="Normal"/>
        <w:spacing w:line="240" w:lineRule="auto"/>
      </w:pPr>
      <w:r>
        <w:rPr>
          <w:b/>
          <w:sz w:val="28"/>
          <w:rFonts w:ascii="Times New Roman" w:hAnsi="Times New Roman"/>
        </w:rPr>
        <w:t xml:space="preserve">BILJEŠKE UZ FINANCIJSKE IZVJEŠTAJE</w:t>
      </w:r>
    </w:p>
    <w:p>
      <w:pPr>
        <w:jc w:val="center"/>
        <w:pStyle w:val="Normal"/>
        <w:spacing w:line="240" w:lineRule="auto"/>
      </w:pPr>
      <w:r>
        <w:rPr>
          <w:b/>
          <w:sz w:val="28"/>
          <w:rFonts w:ascii="Times New Roman" w:hAnsi="Times New Roman"/>
        </w:rPr>
        <w:t xml:space="preserve">ZA RAZDOBLJE</w:t>
      </w:r>
    </w:p>
    <w:p>
      <w:pPr>
        <w:jc w:val="center"/>
        <w:pStyle w:val="Normal"/>
        <w:spacing w:line="240" w:lineRule="auto"/>
      </w:pPr>
      <w:r>
        <w:rPr>
          <w:b/>
          <w:sz w:val="28"/>
          <w:rFonts w:ascii="Times New Roman" w:hAnsi="Times New Roman"/>
        </w:rPr>
        <w:t xml:space="preserve">I - VI 2026.</w:t>
      </w:r>
    </w:p>
    <w:p/>
    <w:p>
      <w:pPr>
        <w:jc w:val="center"/>
        <w:pStyle w:val="Normal"/>
        <w:spacing w:line="240" w:lineRule="auto"/>
        <w:keepNext/>
      </w:pPr>
      <w:r>
        <w:rPr>
          <w:b/>
          <w:sz w:val="28"/>
          <w:rFonts w:ascii="Times New Roman" w:hAnsi="Times New Roman"/>
        </w:rPr>
        <w:t xml:space="preserve">Izvještaj o prihodima i rashodima, primicima i izdacima</w:t>
      </w:r>
    </w:p>
    <w:p>
      <w:pPr>
        <w:jc w:val="center"/>
        <w:pStyle w:val="Normal"/>
        <w:spacing w:line="240" w:lineRule="auto"/>
        <w:keepNext/>
      </w:pPr>
      <w:r>
        <w:rPr>
          <w:sz w:val="28"/>
          <w:rFonts w:ascii="Times New Roman" w:hAnsi="Times New Roman"/>
        </w:rPr>
        <w:t xml:space="preserve">Bilješka 1.</w:t>
      </w:r>
    </w:p>
    <w:tbl>
      <w:tblPr>
        <w:tblBorders>
          <w:top w:val="single" w:color="BABABA" w:sz="12"/>
          <w:bottom w:val="single" w:color="BABABA" w:sz="12"/>
          <w:left w:val="single" w:color="BABABA" w:sz="12"/>
          <w:right w:val="single" w:color="BABABA" w:sz="12"/>
          <w:insideH w:val="single" w:color="BABABA" w:sz="8"/>
          <w:insideV w:val="single" w:color="DADADA" w:sz="8"/>
        </w:tblBorders>
        <w:tblW w:w="0" w:type="auto"/>
        <w:tblLayout w:type="fixed"/>
        <w:tblCellMar>
          <w:left w:w="40" w:type="dxa"/>
          <w:right w:w="40" w:type="dxa"/>
        </w:tblCellMar>
      </w:tblPr>
      <w:tblGrid>
        <w:gridCol w:w="700"/>
        <w:gridCol w:w="3180"/>
        <w:gridCol w:w="700"/>
        <w:gridCol w:w="1860"/>
        <w:gridCol w:w="1860"/>
        <w:gridCol w:w="700"/>
      </w:tblGrid>
      <w:tr>
        <w:trPr>
          <w:cantSplit/>
        </w:trPr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Račun iz rač. plana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Opis stavke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Šifra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Ostvareno u izvještajnom razdoblju prethodne godine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Ostvareno u izvještajnom razdoblju tekuće godine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Indeks (%)</w:t>
            </w:r>
          </w:p>
        </w:tc>
      </w:tr>
      <w:tr>
        <w:trPr>
          <w:trHeight w:val="560" w:hRule="atLeast"/>
          <w:cantSplit/>
        </w:trPr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6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PRIHODI POSLOVANJA (šifre 61+62+63+64+65+66+67+68)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6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188.985,26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145.946,59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77,2</w:t>
            </w:r>
          </w:p>
        </w:tc>
      </w:tr>
      <w:tr>
        <w:trPr>
          <w:trHeight w:val="560" w:hRule="atLeast"/>
          <w:cantSplit/>
        </w:trPr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3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RASHODI POSLOVANJA (šifre 31+32+34+35+36+37+38) 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3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134.622,48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138.509,41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102,9</w:t>
            </w:r>
          </w:p>
        </w:tc>
      </w:tr>
      <w:tr>
        <w:trPr>
          <w:trHeight w:val="560" w:hRule="atLeast"/>
          <w:cantSplit/>
        </w:trPr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 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VIŠAK PRIHODA POSLOVANJA (šifre 6-Z005) 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X001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54.362,78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7.437,18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13,7</w:t>
            </w:r>
          </w:p>
        </w:tc>
      </w:tr>
      <w:tr>
        <w:trPr>
          <w:trHeight w:val="560" w:hRule="atLeast"/>
          <w:cantSplit/>
        </w:trPr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7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Prihodi od prodaje nefinancijske imovine (šifre 71+72+73+74)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7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0,00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0,00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-</w:t>
            </w:r>
          </w:p>
        </w:tc>
      </w:tr>
      <w:tr>
        <w:trPr>
          <w:trHeight w:val="560" w:hRule="atLeast"/>
          <w:cantSplit/>
        </w:trPr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4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Rashodi za nabavu nefinancijske imovine (šifre 41+42+43+44+45)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4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34.599,14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3.800,00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11,0</w:t>
            </w:r>
          </w:p>
        </w:tc>
      </w:tr>
      <w:tr>
        <w:trPr>
          <w:trHeight w:val="560" w:hRule="atLeast"/>
          <w:cantSplit/>
        </w:trPr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 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MANJAK PRIHODA OD NEFINANCIJSKE IMOVINE (šifre 4-7)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Y002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34.599,14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3.800,00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11,0</w:t>
            </w:r>
          </w:p>
        </w:tc>
      </w:tr>
      <w:tr>
        <w:trPr>
          <w:trHeight w:val="560" w:hRule="atLeast"/>
          <w:cantSplit/>
        </w:trPr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8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Primici od financijske imovine i zaduživanja (šifre 81+82+83+84+85)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8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0,00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0,00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-</w:t>
            </w:r>
          </w:p>
        </w:tc>
      </w:tr>
      <w:tr>
        <w:trPr>
          <w:trHeight w:val="560" w:hRule="atLeast"/>
          <w:cantSplit/>
        </w:trPr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5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Izdaci za financijsku imovinu i otplate zajmova (šifre 51+52+53+54+55)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5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0,00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0,00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-</w:t>
            </w:r>
          </w:p>
        </w:tc>
      </w:tr>
      <w:tr>
        <w:trPr>
          <w:trHeight w:val="560" w:hRule="atLeast"/>
          <w:cantSplit/>
        </w:trPr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 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VIŠAK/MANJAK PRIMITAKA OD FINANCIJSKE IMOVINE I ZADUŽIVANJA (šifre 8-5, 5-8)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X003, Y003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0,00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0,00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-</w:t>
            </w:r>
          </w:p>
        </w:tc>
      </w:tr>
      <w:tr>
        <w:trPr>
          <w:trHeight w:val="560" w:hRule="atLeast"/>
          <w:cantSplit/>
        </w:trPr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 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VIŠAK PRIHODA I PRIMITAKA (šifre X678-Y345)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X005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19.763,64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3.637,18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18,4</w:t>
            </w:r>
          </w:p>
        </w:tc>
      </w:tr>
    </w:tbl>
    <w:p>
      <w:pPr>
        <w:spacing w:before="0" w:after="0"/>
      </w:pPr>
    </w:p>
    <w:p>
      <w:r>
        <w:t xml:space="preserve">U prvoj polovici 2026. godine evidentiran je višak u iznosu 3.637,18 €. U odnosu na isto razdoblje prethodne godine, zabilježeno je značajno smanjenje prihoda poslovanja, a koje je vezano prvenstveno uz prihode iz kojih se financira nefinancijska imovina (konta 6362 Kapitalne pomoći proračunskim korisnicima iz proračuna koji im nije nadležan i 6712 Prihodi iz nadležnog proračuna za financiranje rashoda za nabavu nefinancijske imovine).</w:t>
      </w:r>
    </w:p>
    <w:p>
      <w:r>
        <w:br/>
      </w:r>
    </w:p>
    <w:p>
      <w:pPr>
        <w:jc w:val="center"/>
        <w:pStyle w:val="Normal"/>
        <w:spacing w:line="240" w:lineRule="auto"/>
        <w:keepNext/>
      </w:pPr>
      <w:r>
        <w:rPr>
          <w:sz w:val="28"/>
          <w:rFonts w:ascii="Times New Roman" w:hAnsi="Times New Roman"/>
        </w:rPr>
        <w:t xml:space="preserve">Bilješka 2.</w:t>
      </w:r>
    </w:p>
    <w:tbl>
      <w:tblPr>
        <w:tblBorders>
          <w:top w:val="single" w:color="BABABA" w:sz="12"/>
          <w:bottom w:val="single" w:color="BABABA" w:sz="12"/>
          <w:left w:val="single" w:color="BABABA" w:sz="12"/>
          <w:right w:val="single" w:color="BABABA" w:sz="12"/>
          <w:insideH w:val="single" w:color="BABABA" w:sz="8"/>
          <w:insideV w:val="single" w:color="DADADA" w:sz="8"/>
        </w:tblBorders>
        <w:tblW w:w="9000" w:type="dxa"/>
        <w:tblLayout w:type="fixed"/>
        <w:tblCellMar>
          <w:left w:w="40" w:type="dxa"/>
          <w:right w:w="40" w:type="dxa"/>
        </w:tblCellMar>
      </w:tblPr>
      <w:tblGrid>
        <w:gridCol w:w="700"/>
        <w:gridCol w:w="3180"/>
        <w:gridCol w:w="700"/>
        <w:gridCol w:w="1860"/>
        <w:gridCol w:w="1860"/>
        <w:gridCol w:w="700"/>
      </w:tblGrid>
      <w:tr>
        <w:trPr>
          <w:cantSplit/>
        </w:trPr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Račun iz rač. plana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Opis stavke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Šifra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Ostvareno u izvještajnom razdoblju prethodne godine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Ostvareno u izvještajnom razdoblju tekuće godine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Indeks (%)</w:t>
            </w:r>
          </w:p>
        </w:tc>
      </w:tr>
      <w:tr>
        <w:trPr>
          <w:trHeight w:val="560" w:hRule="atLeast"/>
          <w:cantSplit/>
        </w:trPr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6362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Kapitalne pomoći proračunskim korisnicima iz proračuna koji im nije nadležan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6362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16.000,00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0,00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0</w:t>
            </w:r>
          </w:p>
        </w:tc>
      </w:tr>
    </w:tbl>
    <w:p>
      <w:pPr>
        <w:spacing w:before="0" w:after="0"/>
      </w:pPr>
    </w:p>
    <w:p>
      <w:r>
        <w:t xml:space="preserve">Kapitalne pomoći proračunskim korisnicima iz proračuna koji im nije nadležan u prethodnoj godini se odnosi na projekte koji su financirani od strane Ministarstva kulture. U 206. godini su ovi prihodi značajno manje planirani (5.000,00 €), i još uvijek nisu realizirani.</w:t>
      </w:r>
    </w:p>
    <w:p/>
    <w:p>
      <w:pPr>
        <w:jc w:val="center"/>
        <w:pStyle w:val="Normal"/>
        <w:spacing w:line="240" w:lineRule="auto"/>
        <w:keepNext/>
      </w:pPr>
      <w:r>
        <w:rPr>
          <w:sz w:val="28"/>
          <w:rFonts w:ascii="Times New Roman" w:hAnsi="Times New Roman"/>
        </w:rPr>
        <w:t xml:space="preserve">Bilješka 3.</w:t>
      </w:r>
    </w:p>
    <w:tbl>
      <w:tblPr>
        <w:tblBorders>
          <w:top w:val="single" w:color="BABABA" w:sz="12"/>
          <w:bottom w:val="single" w:color="BABABA" w:sz="12"/>
          <w:left w:val="single" w:color="BABABA" w:sz="12"/>
          <w:right w:val="single" w:color="BABABA" w:sz="12"/>
          <w:insideH w:val="single" w:color="BABABA" w:sz="8"/>
          <w:insideV w:val="single" w:color="DADADA" w:sz="8"/>
        </w:tblBorders>
        <w:tblW w:w="9000" w:type="dxa"/>
        <w:tblLayout w:type="fixed"/>
        <w:tblCellMar>
          <w:left w:w="40" w:type="dxa"/>
          <w:right w:w="40" w:type="dxa"/>
        </w:tblCellMar>
      </w:tblPr>
      <w:tblGrid>
        <w:gridCol w:w="700"/>
        <w:gridCol w:w="3180"/>
        <w:gridCol w:w="700"/>
        <w:gridCol w:w="1860"/>
        <w:gridCol w:w="1860"/>
        <w:gridCol w:w="700"/>
      </w:tblGrid>
      <w:tr>
        <w:trPr>
          <w:cantSplit/>
        </w:trPr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Račun iz rač. plana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Opis stavke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Šifra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Ostvareno u izvještajnom razdoblju prethodne godine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Ostvareno u izvještajnom razdoblju tekuće godine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Indeks (%)</w:t>
            </w:r>
          </w:p>
        </w:tc>
      </w:tr>
      <w:tr>
        <w:trPr>
          <w:trHeight w:val="560" w:hRule="atLeast"/>
          <w:cantSplit/>
        </w:trPr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6413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Kamate na oročena sredstva i depozite po viđenju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6413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2,58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0,00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0</w:t>
            </w:r>
          </w:p>
        </w:tc>
      </w:tr>
    </w:tbl>
    <w:p>
      <w:pPr>
        <w:spacing w:before="0" w:after="0"/>
      </w:pPr>
    </w:p>
    <w:p>
      <w:r>
        <w:t xml:space="preserve">Kapitalne pomoći proračunskim korisnicima iz proračuna koji im nije nadležan u prethodnoj godini se odnosi na projekte koji su financirani od strane Ministarstva kulture. U 206. godini su ovi prihodi značajno manje planirani (5.000,00 €), i još uvijek nisu realizirani.</w:t>
      </w:r>
    </w:p>
    <w:p/>
    <w:p>
      <w:pPr>
        <w:jc w:val="center"/>
        <w:pStyle w:val="Normal"/>
        <w:spacing w:line="240" w:lineRule="auto"/>
        <w:keepNext/>
      </w:pPr>
      <w:r>
        <w:rPr>
          <w:sz w:val="28"/>
          <w:rFonts w:ascii="Times New Roman" w:hAnsi="Times New Roman"/>
        </w:rPr>
        <w:t xml:space="preserve">Bilješka 4.</w:t>
      </w:r>
    </w:p>
    <w:tbl>
      <w:tblPr>
        <w:tblBorders>
          <w:top w:val="single" w:color="BABABA" w:sz="12"/>
          <w:bottom w:val="single" w:color="BABABA" w:sz="12"/>
          <w:left w:val="single" w:color="BABABA" w:sz="12"/>
          <w:right w:val="single" w:color="BABABA" w:sz="12"/>
          <w:insideH w:val="single" w:color="BABABA" w:sz="8"/>
          <w:insideV w:val="single" w:color="DADADA" w:sz="8"/>
        </w:tblBorders>
        <w:tblW w:w="9000" w:type="dxa"/>
        <w:tblLayout w:type="fixed"/>
        <w:tblCellMar>
          <w:left w:w="40" w:type="dxa"/>
          <w:right w:w="40" w:type="dxa"/>
        </w:tblCellMar>
      </w:tblPr>
      <w:tblGrid>
        <w:gridCol w:w="700"/>
        <w:gridCol w:w="3180"/>
        <w:gridCol w:w="700"/>
        <w:gridCol w:w="1860"/>
        <w:gridCol w:w="1860"/>
        <w:gridCol w:w="700"/>
      </w:tblGrid>
      <w:tr>
        <w:trPr>
          <w:cantSplit/>
        </w:trPr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Račun iz rač. plana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Opis stavke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Šifra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Ostvareno u izvještajnom razdoblju prethodne godine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Ostvareno u izvještajnom razdoblju tekuće godine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Indeks (%)</w:t>
            </w:r>
          </w:p>
        </w:tc>
      </w:tr>
      <w:tr>
        <w:trPr>
          <w:trHeight w:val="560" w:hRule="atLeast"/>
          <w:cantSplit/>
        </w:trPr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6712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Prihodi iz nadležnog proračuna za financiranje rashoda za nabavu nefinancijske imovine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6712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34.599,14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1.300,00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3,8</w:t>
            </w:r>
          </w:p>
        </w:tc>
      </w:tr>
    </w:tbl>
    <w:p>
      <w:pPr>
        <w:spacing w:before="0" w:after="0"/>
      </w:pPr>
    </w:p>
    <w:p>
      <w:r>
        <w:t xml:space="preserve">Prihodi iz nadležnog proračuna za financiranje rashoda za nabavu nefinancijske imovine u prethodnoj godini su vezani uz financiranje kupovine prve nogometne lopte. Iznos od 30.000,00 € je plaćen početkom prethodne godine u ovu svrhu.</w:t>
      </w:r>
    </w:p>
    <w:p/>
    <w:p>
      <w:pPr>
        <w:jc w:val="center"/>
        <w:pStyle w:val="Normal"/>
        <w:spacing w:line="240" w:lineRule="auto"/>
        <w:keepNext/>
      </w:pPr>
      <w:r>
        <w:rPr>
          <w:sz w:val="28"/>
          <w:rFonts w:ascii="Times New Roman" w:hAnsi="Times New Roman"/>
        </w:rPr>
        <w:t xml:space="preserve">Bilješka 5.</w:t>
      </w:r>
    </w:p>
    <w:tbl>
      <w:tblPr>
        <w:tblBorders>
          <w:top w:val="single" w:color="BABABA" w:sz="12"/>
          <w:bottom w:val="single" w:color="BABABA" w:sz="12"/>
          <w:left w:val="single" w:color="BABABA" w:sz="12"/>
          <w:right w:val="single" w:color="BABABA" w:sz="12"/>
          <w:insideH w:val="single" w:color="BABABA" w:sz="8"/>
          <w:insideV w:val="single" w:color="DADADA" w:sz="8"/>
        </w:tblBorders>
        <w:tblW w:w="9000" w:type="dxa"/>
        <w:tblLayout w:type="fixed"/>
        <w:tblCellMar>
          <w:left w:w="40" w:type="dxa"/>
          <w:right w:w="40" w:type="dxa"/>
        </w:tblCellMar>
      </w:tblPr>
      <w:tblGrid>
        <w:gridCol w:w="700"/>
        <w:gridCol w:w="3180"/>
        <w:gridCol w:w="700"/>
        <w:gridCol w:w="1860"/>
        <w:gridCol w:w="1860"/>
        <w:gridCol w:w="700"/>
      </w:tblGrid>
      <w:tr>
        <w:trPr>
          <w:cantSplit/>
        </w:trPr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Račun iz rač. plana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Opis stavke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Šifra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Ostvareno u izvještajnom razdoblju prethodne godine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Ostvareno u izvještajnom razdoblju tekuće godine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Indeks (%)</w:t>
            </w:r>
          </w:p>
        </w:tc>
      </w:tr>
      <w:tr>
        <w:trPr>
          <w:trHeight w:val="560" w:hRule="atLeast"/>
          <w:cantSplit/>
        </w:trPr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311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Plaće (bruto) (šifre 3111 do 3114) 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311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75.476,66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82.673,51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109,5</w:t>
            </w:r>
          </w:p>
        </w:tc>
      </w:tr>
    </w:tbl>
    <w:p>
      <w:pPr>
        <w:spacing w:before="0" w:after="0"/>
      </w:pPr>
    </w:p>
    <w:p>
      <w:r>
        <w:t xml:space="preserve">Veća osnovica plaće je rezultat većih rashoda tekuće godine spram prethodne.</w:t>
      </w:r>
    </w:p>
    <w:p/>
    <w:p>
      <w:pPr>
        <w:jc w:val="center"/>
        <w:pStyle w:val="Normal"/>
        <w:spacing w:line="240" w:lineRule="auto"/>
        <w:keepNext/>
      </w:pPr>
      <w:r>
        <w:rPr>
          <w:sz w:val="28"/>
          <w:rFonts w:ascii="Times New Roman" w:hAnsi="Times New Roman"/>
        </w:rPr>
        <w:t xml:space="preserve">Bilješka 6.</w:t>
      </w:r>
    </w:p>
    <w:tbl>
      <w:tblPr>
        <w:tblBorders>
          <w:top w:val="single" w:color="BABABA" w:sz="12"/>
          <w:bottom w:val="single" w:color="BABABA" w:sz="12"/>
          <w:left w:val="single" w:color="BABABA" w:sz="12"/>
          <w:right w:val="single" w:color="BABABA" w:sz="12"/>
          <w:insideH w:val="single" w:color="BABABA" w:sz="8"/>
          <w:insideV w:val="single" w:color="DADADA" w:sz="8"/>
        </w:tblBorders>
        <w:tblW w:w="9000" w:type="dxa"/>
        <w:tblLayout w:type="fixed"/>
        <w:tblCellMar>
          <w:left w:w="40" w:type="dxa"/>
          <w:right w:w="40" w:type="dxa"/>
        </w:tblCellMar>
      </w:tblPr>
      <w:tblGrid>
        <w:gridCol w:w="700"/>
        <w:gridCol w:w="3180"/>
        <w:gridCol w:w="700"/>
        <w:gridCol w:w="1860"/>
        <w:gridCol w:w="1860"/>
        <w:gridCol w:w="700"/>
      </w:tblGrid>
      <w:tr>
        <w:trPr>
          <w:cantSplit/>
        </w:trPr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Račun iz rač. plana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Opis stavke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Šifra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Ostvareno u izvještajnom razdoblju prethodne godine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Ostvareno u izvještajnom razdoblju tekuće godine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Indeks (%)</w:t>
            </w:r>
          </w:p>
        </w:tc>
      </w:tr>
      <w:tr>
        <w:trPr>
          <w:trHeight w:val="560" w:hRule="atLeast"/>
          <w:cantSplit/>
        </w:trPr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322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Rashodi za materijal i energiju (šifre 3221 do 3227)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322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6.438,05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5.342,69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83,0</w:t>
            </w:r>
          </w:p>
        </w:tc>
      </w:tr>
    </w:tbl>
    <w:p>
      <w:pPr>
        <w:spacing w:before="0" w:after="0"/>
      </w:pPr>
    </w:p>
    <w:p>
      <w:r>
        <w:t xml:space="preserve">Unutar ove podskupine su u prethodnoj godini evidentirani značajniji rashodi zbog nabave kutija za spremanje i arhiviranje postava u posjedu Muzeja kako bi sigurno bili zbrinuti i skladišteni, vanjski hard disk kao back up digitalnih dokumenata i materijal za održavanje prostora.</w:t>
      </w:r>
    </w:p>
    <w:p/>
    <w:p>
      <w:pPr>
        <w:jc w:val="center"/>
        <w:pStyle w:val="Normal"/>
        <w:spacing w:line="240" w:lineRule="auto"/>
        <w:keepNext/>
      </w:pPr>
      <w:r>
        <w:rPr>
          <w:sz w:val="28"/>
          <w:rFonts w:ascii="Times New Roman" w:hAnsi="Times New Roman"/>
        </w:rPr>
        <w:t xml:space="preserve">Bilješka 7.</w:t>
      </w:r>
    </w:p>
    <w:tbl>
      <w:tblPr>
        <w:tblBorders>
          <w:top w:val="single" w:color="BABABA" w:sz="12"/>
          <w:bottom w:val="single" w:color="BABABA" w:sz="12"/>
          <w:left w:val="single" w:color="BABABA" w:sz="12"/>
          <w:right w:val="single" w:color="BABABA" w:sz="12"/>
          <w:insideH w:val="single" w:color="BABABA" w:sz="8"/>
          <w:insideV w:val="single" w:color="DADADA" w:sz="8"/>
        </w:tblBorders>
        <w:tblW w:w="9000" w:type="dxa"/>
        <w:tblLayout w:type="fixed"/>
        <w:tblCellMar>
          <w:left w:w="40" w:type="dxa"/>
          <w:right w:w="40" w:type="dxa"/>
        </w:tblCellMar>
      </w:tblPr>
      <w:tblGrid>
        <w:gridCol w:w="700"/>
        <w:gridCol w:w="3180"/>
        <w:gridCol w:w="700"/>
        <w:gridCol w:w="1860"/>
        <w:gridCol w:w="1860"/>
        <w:gridCol w:w="700"/>
      </w:tblGrid>
      <w:tr>
        <w:trPr>
          <w:cantSplit/>
        </w:trPr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Račun iz rač. plana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Opis stavke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Šifra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Ostvareno u izvještajnom razdoblju prethodne godine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Ostvareno u izvještajnom razdoblju tekuće godine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Indeks (%)</w:t>
            </w:r>
          </w:p>
        </w:tc>
      </w:tr>
      <w:tr>
        <w:trPr>
          <w:trHeight w:val="560" w:hRule="atLeast"/>
          <w:cantSplit/>
        </w:trPr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323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Rashodi za usluge (šifre 3231 do 3239)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323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23.847,35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21.632,58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90,7</w:t>
            </w:r>
          </w:p>
        </w:tc>
      </w:tr>
    </w:tbl>
    <w:p>
      <w:pPr>
        <w:spacing w:before="0" w:after="0"/>
      </w:pPr>
    </w:p>
    <w:p>
      <w:r>
        <w:t xml:space="preserve">Rashodi za usluge u prvoj polovici 2026. godine bilježe pad u iznosu 2.214,77 €. Unutar podskupine najznačajnije smanjenje je vezano uz manje realizirane intelektualne i osobne usluge, dok je najznačajnije povećanje rashoda u odnosu na isto razdoblje prethodne godine vezano uz ostale usluge.</w:t>
      </w:r>
    </w:p>
    <w:p/>
    <w:p>
      <w:pPr>
        <w:jc w:val="center"/>
        <w:pStyle w:val="Normal"/>
        <w:spacing w:line="240" w:lineRule="auto"/>
        <w:keepNext/>
      </w:pPr>
      <w:r>
        <w:rPr>
          <w:sz w:val="28"/>
          <w:rFonts w:ascii="Times New Roman" w:hAnsi="Times New Roman"/>
        </w:rPr>
        <w:t xml:space="preserve">Bilješka 8.</w:t>
      </w:r>
    </w:p>
    <w:tbl>
      <w:tblPr>
        <w:tblBorders>
          <w:top w:val="single" w:color="BABABA" w:sz="12"/>
          <w:bottom w:val="single" w:color="BABABA" w:sz="12"/>
          <w:left w:val="single" w:color="BABABA" w:sz="12"/>
          <w:right w:val="single" w:color="BABABA" w:sz="12"/>
          <w:insideH w:val="single" w:color="BABABA" w:sz="8"/>
          <w:insideV w:val="single" w:color="DADADA" w:sz="8"/>
        </w:tblBorders>
        <w:tblW w:w="9000" w:type="dxa"/>
        <w:tblLayout w:type="fixed"/>
        <w:tblCellMar>
          <w:left w:w="40" w:type="dxa"/>
          <w:right w:w="40" w:type="dxa"/>
        </w:tblCellMar>
      </w:tblPr>
      <w:tblGrid>
        <w:gridCol w:w="700"/>
        <w:gridCol w:w="3180"/>
        <w:gridCol w:w="700"/>
        <w:gridCol w:w="1860"/>
        <w:gridCol w:w="1860"/>
        <w:gridCol w:w="700"/>
      </w:tblGrid>
      <w:tr>
        <w:trPr>
          <w:cantSplit/>
        </w:trPr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Račun iz rač. plana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Opis stavke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Šifra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Ostvareno u izvještajnom razdoblju prethodne godine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Ostvareno u izvještajnom razdoblju tekuće godine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Indeks (%)</w:t>
            </w:r>
          </w:p>
        </w:tc>
      </w:tr>
      <w:tr>
        <w:trPr>
          <w:trHeight w:val="560" w:hRule="atLeast"/>
          <w:cantSplit/>
        </w:trPr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329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Ostali nespomenuti rashodi poslovanja (šifre 3291 do 3299)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329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6.501,40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5.648,04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86,9</w:t>
            </w:r>
          </w:p>
        </w:tc>
      </w:tr>
    </w:tbl>
    <w:p>
      <w:pPr>
        <w:spacing w:before="0" w:after="0"/>
      </w:pPr>
    </w:p>
    <w:p>
      <w:r>
        <w:t xml:space="preserve">Podskupina 329 bilježi smanjenje u iznosu 853,36 €, a ono je vezano najvećim dijelom uz smanjenje troškova reprezentacije u odnosu na prethodnu godinu.</w:t>
      </w:r>
    </w:p>
    <w:p/>
    <w:p>
      <w:pPr>
        <w:jc w:val="center"/>
        <w:pStyle w:val="Normal"/>
        <w:spacing w:line="240" w:lineRule="auto"/>
        <w:keepNext/>
      </w:pPr>
      <w:r>
        <w:rPr>
          <w:sz w:val="28"/>
          <w:rFonts w:ascii="Times New Roman" w:hAnsi="Times New Roman"/>
        </w:rPr>
        <w:t xml:space="preserve">Bilješka 9.</w:t>
      </w:r>
    </w:p>
    <w:tbl>
      <w:tblPr>
        <w:tblBorders>
          <w:top w:val="single" w:color="BABABA" w:sz="12"/>
          <w:bottom w:val="single" w:color="BABABA" w:sz="12"/>
          <w:left w:val="single" w:color="BABABA" w:sz="12"/>
          <w:right w:val="single" w:color="BABABA" w:sz="12"/>
          <w:insideH w:val="single" w:color="BABABA" w:sz="8"/>
          <w:insideV w:val="single" w:color="DADADA" w:sz="8"/>
        </w:tblBorders>
        <w:tblW w:w="9000" w:type="dxa"/>
        <w:tblLayout w:type="fixed"/>
        <w:tblCellMar>
          <w:left w:w="40" w:type="dxa"/>
          <w:right w:w="40" w:type="dxa"/>
        </w:tblCellMar>
      </w:tblPr>
      <w:tblGrid>
        <w:gridCol w:w="700"/>
        <w:gridCol w:w="3180"/>
        <w:gridCol w:w="700"/>
        <w:gridCol w:w="1860"/>
        <w:gridCol w:w="1860"/>
        <w:gridCol w:w="700"/>
      </w:tblGrid>
      <w:tr>
        <w:trPr>
          <w:cantSplit/>
        </w:trPr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Račun iz rač. plana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Opis stavke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Šifra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Ostvareno u izvještajnom razdoblju prethodne godine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Ostvareno u izvještajnom razdoblju tekuće godine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Indeks (%)</w:t>
            </w:r>
          </w:p>
        </w:tc>
      </w:tr>
      <w:tr>
        <w:trPr>
          <w:trHeight w:val="560" w:hRule="atLeast"/>
          <w:cantSplit/>
        </w:trPr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3431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Bankarske usluge i usluge platnog prometa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3431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301,31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10,46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3,5</w:t>
            </w:r>
          </w:p>
        </w:tc>
      </w:tr>
    </w:tbl>
    <w:p>
      <w:pPr>
        <w:spacing w:before="0" w:after="0"/>
      </w:pPr>
    </w:p>
    <w:p>
      <w:r>
        <w:t xml:space="preserve">Ulaskom u sustav riznice ukinut je poslovni račun proračunskog korisnika.</w:t>
      </w:r>
    </w:p>
    <w:p/>
    <w:p>
      <w:pPr>
        <w:jc w:val="center"/>
        <w:pStyle w:val="Normal"/>
        <w:spacing w:line="240" w:lineRule="auto"/>
        <w:keepNext/>
      </w:pPr>
      <w:r>
        <w:rPr>
          <w:sz w:val="28"/>
          <w:rFonts w:ascii="Times New Roman" w:hAnsi="Times New Roman"/>
        </w:rPr>
        <w:t xml:space="preserve">Bilješka 10.</w:t>
      </w:r>
    </w:p>
    <w:tbl>
      <w:tblPr>
        <w:tblBorders>
          <w:top w:val="single" w:color="BABABA" w:sz="12"/>
          <w:bottom w:val="single" w:color="BABABA" w:sz="12"/>
          <w:left w:val="single" w:color="BABABA" w:sz="12"/>
          <w:right w:val="single" w:color="BABABA" w:sz="12"/>
          <w:insideH w:val="single" w:color="BABABA" w:sz="8"/>
          <w:insideV w:val="single" w:color="DADADA" w:sz="8"/>
        </w:tblBorders>
        <w:tblW w:w="9000" w:type="dxa"/>
        <w:tblLayout w:type="fixed"/>
        <w:tblCellMar>
          <w:left w:w="40" w:type="dxa"/>
          <w:right w:w="40" w:type="dxa"/>
        </w:tblCellMar>
      </w:tblPr>
      <w:tblGrid>
        <w:gridCol w:w="700"/>
        <w:gridCol w:w="3180"/>
        <w:gridCol w:w="700"/>
        <w:gridCol w:w="1860"/>
        <w:gridCol w:w="1860"/>
        <w:gridCol w:w="700"/>
      </w:tblGrid>
      <w:tr>
        <w:trPr>
          <w:cantSplit/>
        </w:trPr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Račun iz rač. plana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Opis stavke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Šifra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Ostvareno u izvještajnom razdoblju prethodne godine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Ostvareno u izvještajnom razdoblju tekuće godine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Indeks (%)</w:t>
            </w:r>
          </w:p>
        </w:tc>
      </w:tr>
      <w:tr>
        <w:trPr>
          <w:trHeight w:val="560" w:hRule="atLeast"/>
          <w:cantSplit/>
        </w:trPr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11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Stanje novčanih sredstava na kraju izvještajnog razdoblja (šifre 11P + '11-dugov.' - '11-potraž.')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11K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38.973,29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0,00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0</w:t>
            </w:r>
          </w:p>
        </w:tc>
      </w:tr>
    </w:tbl>
    <w:p>
      <w:pPr>
        <w:spacing w:before="0" w:after="0"/>
      </w:pPr>
    </w:p>
    <w:p>
      <w:r>
        <w:t xml:space="preserve">Ukidanje računa proračunskih korisnika grada Županje je dogovoreno s 31.12.2025. godine. Sa datumom 30.06.2026. godine, Gradski muzej Županja nema evidentiran novac na žiro računu.</w:t>
      </w:r>
    </w:p>
    <w:p/>
    <w:p>
      <w:pPr>
        <w:jc w:val="center"/>
        <w:pStyle w:val="Normal"/>
        <w:spacing w:line="240" w:lineRule="auto"/>
        <w:keepNext/>
      </w:pPr>
      <w:r>
        <w:rPr>
          <w:b/>
          <w:sz w:val="28"/>
          <w:rFonts w:ascii="Times New Roman" w:hAnsi="Times New Roman"/>
        </w:rPr>
        <w:t xml:space="preserve">Izvještaj o obvezama</w:t>
      </w:r>
    </w:p>
    <w:p>
      <w:pPr>
        <w:jc w:val="center"/>
        <w:pStyle w:val="Normal"/>
        <w:spacing w:line="240" w:lineRule="auto"/>
        <w:keepNext/>
      </w:pPr>
      <w:r>
        <w:rPr>
          <w:sz w:val="28"/>
          <w:rFonts w:ascii="Times New Roman" w:hAnsi="Times New Roman"/>
        </w:rPr>
        <w:t xml:space="preserve">Bilješka 11.</w:t>
      </w:r>
    </w:p>
    <w:tbl>
      <w:tblPr>
        <w:tblBorders>
          <w:top w:val="single" w:color="BABABA" w:sz="12"/>
          <w:bottom w:val="single" w:color="BABABA" w:sz="12"/>
          <w:left w:val="single" w:color="BABABA" w:sz="12"/>
          <w:right w:val="single" w:color="BABABA" w:sz="12"/>
          <w:insideH w:val="single" w:color="BABABA" w:sz="8"/>
          <w:insideV w:val="single" w:color="DADADA" w:sz="8"/>
        </w:tblBorders>
        <w:tblW w:w="9000" w:type="dxa"/>
        <w:tblLayout w:type="fixed"/>
        <w:tblCellMar>
          <w:left w:w="40" w:type="dxa"/>
          <w:right w:w="40" w:type="dxa"/>
        </w:tblCellMar>
      </w:tblPr>
      <w:tblGrid>
        <w:gridCol w:w="700"/>
        <w:gridCol w:w="3180"/>
        <w:gridCol w:w="700"/>
        <w:gridCol w:w="1860"/>
        <w:gridCol w:w="700"/>
      </w:tblGrid>
      <w:tr>
        <w:trPr>
          <w:cantSplit/>
        </w:trPr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Račun iz rač. plana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Opis stavke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Šifra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Iznos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Indeks (%)</w:t>
            </w:r>
          </w:p>
        </w:tc>
      </w:tr>
      <w:tr>
        <w:trPr>
          <w:trHeight w:val="560" w:hRule="atLeast"/>
          <w:cantSplit/>
        </w:trPr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/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Stanje dospjelih obveza na kraju izvještajnog razdoblja (šifre V008+D23+D24 + 'D dio 25,26' + D27)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V007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46,55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-</w:t>
            </w:r>
          </w:p>
        </w:tc>
      </w:tr>
    </w:tbl>
    <w:p>
      <w:pPr>
        <w:spacing w:before="0" w:after="0"/>
      </w:pPr>
    </w:p>
    <w:p>
      <w:r>
        <w:t xml:space="preserve">Sa datumom 30.06.2026. godine, Gradski muzej Županja ima evidentiranu dospjelu obvezu u iznosu 46,55 €, koja se odnosi na račun ispostavljen krajem mjeseca lipnja, i čije je plaćanje izvršeno u srpnju 2026. godine.</w:t>
      </w:r>
    </w:p>
    <w:p/>
  </w:body>
</w:document>
</file>

<file path=word/styles.xml><?xml version="1.0" encoding="utf-8"?>
<w:styles xmlns:w="http://schemas.openxmlformats.org/wordprocessingml/2006/main">
  <w:docDefaults>
    <w:rPrDefault>
      <w:rPr>
        <w:rFonts w:ascii="Times New Roman" w:hAnsi="Times New Roman"/>
        <w:sz w:val="24"/>
      </w:rPr>
    </w:rPrDefault>
  </w:docDefaults>
  <w:style w:type="paragraph" w:styleId="Normal" w:default="true">
    <w:name w:val="Normal"/>
    <w:rPr>
      <w:rFonts w:ascii="Times New Roman" w:hAnsi="Times New Roman"/>
      <w:sz w:val="24"/>
    </w:rPr>
  </w:style>
</w:styles>
</file>

<file path=word/_rels/document.xml.rels>&#65279;<?xml version="1.0" encoding="utf-8"?><Relationships xmlns="http://schemas.openxmlformats.org/package/2006/relationships"><Relationship Type="http://schemas.openxmlformats.org/officeDocument/2006/relationships/styles" Target="/word/styles.xml" Id="R9fc453c7b1674a57" /></Relationships>
</file>