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2000B6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2000B6" w:rsidRDefault="00BD31A2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:rsidR="002000B6" w:rsidRDefault="00BD31A2">
            <w:pPr>
              <w:spacing w:after="0" w:line="240" w:lineRule="auto"/>
            </w:pPr>
            <w:r>
              <w:t>37515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2000B6" w:rsidRDefault="00BD31A2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:rsidR="002000B6" w:rsidRDefault="00BD31A2">
            <w:pPr>
              <w:spacing w:after="0" w:line="240" w:lineRule="auto"/>
            </w:pPr>
            <w:r>
              <w:t>DJEČJI VRTIĆ MASLAČAK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2000B6" w:rsidRDefault="00BD31A2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:rsidR="002000B6" w:rsidRDefault="00BD31A2">
            <w:pPr>
              <w:spacing w:after="0" w:line="240" w:lineRule="auto"/>
            </w:pPr>
            <w:r>
              <w:t>21</w:t>
            </w:r>
          </w:p>
        </w:tc>
      </w:tr>
    </w:tbl>
    <w:p w:rsidR="00686C8D" w:rsidRPr="0024129D" w:rsidRDefault="00BD31A2" w:rsidP="00686C8D">
      <w:pPr>
        <w:rPr>
          <w:b/>
          <w:sz w:val="28"/>
        </w:rPr>
      </w:pPr>
      <w:r>
        <w:br/>
      </w:r>
      <w:r w:rsidR="00686C8D" w:rsidRPr="0024129D">
        <w:rPr>
          <w:b/>
          <w:sz w:val="28"/>
        </w:rPr>
        <w:t>KLASA: 400-03/2</w:t>
      </w:r>
      <w:r w:rsidR="00686C8D">
        <w:rPr>
          <w:b/>
          <w:sz w:val="28"/>
        </w:rPr>
        <w:t>6</w:t>
      </w:r>
      <w:r w:rsidR="00686C8D" w:rsidRPr="0024129D">
        <w:rPr>
          <w:b/>
          <w:sz w:val="28"/>
        </w:rPr>
        <w:t>-01/1</w:t>
      </w:r>
    </w:p>
    <w:p w:rsidR="00686C8D" w:rsidRDefault="00686C8D" w:rsidP="00686C8D">
      <w:pPr>
        <w:rPr>
          <w:b/>
          <w:sz w:val="28"/>
        </w:rPr>
      </w:pPr>
      <w:r w:rsidRPr="0024129D">
        <w:rPr>
          <w:b/>
          <w:sz w:val="28"/>
        </w:rPr>
        <w:t>URBROJ: 2196-5-2-01-2</w:t>
      </w:r>
      <w:r>
        <w:rPr>
          <w:b/>
          <w:sz w:val="28"/>
        </w:rPr>
        <w:t>6</w:t>
      </w:r>
      <w:r w:rsidRPr="0024129D">
        <w:rPr>
          <w:b/>
          <w:sz w:val="28"/>
        </w:rPr>
        <w:t>-</w:t>
      </w:r>
      <w:r>
        <w:rPr>
          <w:b/>
          <w:sz w:val="28"/>
        </w:rPr>
        <w:t>2</w:t>
      </w:r>
    </w:p>
    <w:p w:rsidR="00686C8D" w:rsidRDefault="00686C8D" w:rsidP="00686C8D">
      <w:pPr>
        <w:rPr>
          <w:b/>
          <w:sz w:val="28"/>
        </w:rPr>
      </w:pPr>
      <w:r>
        <w:rPr>
          <w:b/>
          <w:sz w:val="28"/>
        </w:rPr>
        <w:t>Županja, 15. srpnja 2026.</w:t>
      </w:r>
    </w:p>
    <w:p w:rsidR="002000B6" w:rsidRDefault="002000B6"/>
    <w:p w:rsidR="002000B6" w:rsidRDefault="00BD31A2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:rsidR="002000B6" w:rsidRDefault="00BD31A2">
      <w:pPr>
        <w:spacing w:line="240" w:lineRule="auto"/>
        <w:jc w:val="center"/>
      </w:pPr>
      <w:r>
        <w:rPr>
          <w:b/>
          <w:sz w:val="28"/>
        </w:rPr>
        <w:t>ZA RAZDOBLJE</w:t>
      </w:r>
    </w:p>
    <w:p w:rsidR="002000B6" w:rsidRDefault="00BD31A2">
      <w:pPr>
        <w:spacing w:line="240" w:lineRule="auto"/>
        <w:jc w:val="center"/>
      </w:pPr>
      <w:r>
        <w:rPr>
          <w:b/>
          <w:sz w:val="28"/>
        </w:rPr>
        <w:t>I - VI 2026.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</w:t>
            </w:r>
            <w:r>
              <w:rPr>
                <w:b/>
                <w:sz w:val="18"/>
              </w:rPr>
              <w:t>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944.548,03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1.120.332,74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118,6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948.227,96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1.127.900,99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118,9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2000B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3.679,93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7.568,25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205,7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12.955,90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11.941,95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92,2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2000B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12.955,90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11.941,95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92,2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2000B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2000B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16.635,83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19.510,20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117,3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Ukupno ostvareni manjak prihoda i primitaka na dan 30. lipnja 2026. godine iznosi 19.510,20 EUR.</w:t>
      </w:r>
    </w:p>
    <w:p w:rsidR="002000B6" w:rsidRDefault="00BD31A2">
      <w:r>
        <w:lastRenderedPageBreak/>
        <w:t xml:space="preserve">Poslovanje ustanove tijekom izvještajnog razdoblja odvijalo se redovito te su svi rashodi nastali u svrhu obavljanja osnovne djelatnosti predškolskog odgoja i </w:t>
      </w:r>
      <w:r>
        <w:t>obrazovanja. Najveći udio rashoda odnosi se na rashode za zaposlene, materijalne rashode te rashode za nabavu nefinancijske imovine. Manjak je rezultat realizacije rashoda koji su planirani u drugom dijelu godine.</w:t>
      </w:r>
    </w:p>
    <w:p w:rsidR="002000B6" w:rsidRDefault="00BD31A2">
      <w:r>
        <w:br/>
      </w:r>
    </w:p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</w:t>
            </w:r>
            <w:r>
              <w:rPr>
                <w:b/>
                <w:sz w:val="18"/>
              </w:rPr>
              <w:t>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proračunskim korisnicima iz proračuna koji im nije nadležan (šifre 6361+6362)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110.525,54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162.219,29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146,8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Pomoći iz proračuna koji nije nadležan odnose se na sredstva koja Dječjem vrtiću doznačuje Općina Bošnjaci za sufinanciranje rada područnog objekta. Povećanje prihoda rezultat je povećanja plaća zaposlenika, kao i zapošljavanja dodatnog pomoćnog kadra potr</w:t>
      </w:r>
      <w:r>
        <w:t>ebnog za obavljanje djelatnosti u područnom objektu. Iz ovih sredstava financiraju se i ostali rashodi za zaposlene (prigodne nagrade, potpore, jubilarne nagrade i druga materijalna prava zaposlenika), a sredstva za tu namjenu doznačuju se prema stvarnim p</w:t>
      </w:r>
      <w:r>
        <w:t>otrebama i nastanku obveza tijekom godine.</w:t>
      </w:r>
    </w:p>
    <w:p w:rsidR="002000B6" w:rsidRDefault="00BD31A2">
      <w:r>
        <w:t>Općina Bošnjaci sufinancira plaće zaposlenika koji rade u područnom objektu te dio plaća zaposlenika zajedničkih poslova razmjerno broju djece u područnom objektu.</w:t>
      </w:r>
    </w:p>
    <w:p w:rsidR="002000B6" w:rsidRDefault="00BD31A2">
      <w:r>
        <w:t> 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</w:t>
            </w:r>
            <w:r>
              <w:rPr>
                <w:b/>
                <w:sz w:val="18"/>
              </w:rPr>
              <w:t>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 posebnim propisima (šifre 6521 do 6528)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215.239,21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253.840,95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117,9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Povećanje prihoda u odnosu na prethodno izvještajno razdoblje rezultat je većeg broja upisane djece i povećanog broja korisnika usluga Dječjeg vrtića. Ostvareni prihodi u skladu su s projekcijom prihoda za navedeno razdoblje te proizlaze iz redovitog finan</w:t>
      </w:r>
      <w:r>
        <w:t>ciranja programa vrtića od strane korisnika usluga.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lastRenderedPageBreak/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Prihodi iz nadležnog proračuna za </w:t>
            </w:r>
            <w:r>
              <w:rPr>
                <w:sz w:val="18"/>
              </w:rPr>
              <w:t>financiranje rashoda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600.792,00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697.728,44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116,1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 xml:space="preserve">Prihodi iz nadležnog proračuna za financiranje rashoda poslovanja povećani su za 96.936,44 EUR u odnosu na prethodno izvještajno razdoblje. Povećanje je rezultat povećanih potreba za financiranjem redovnog poslovanja ustanove, prvenstveno zbog povećanja i </w:t>
      </w:r>
      <w:r>
        <w:t>usklađivanja plaća zaposlenika, kao i osiguranja dostatnih sredstava za podmirenje rashoda poslovanja. Osnivač je, u skladu s potrebama ustanove i planiranim financiranjem, povećao svoje sudjelovanje u financiranju rashoda kako bi se osiguralo nesmetano ob</w:t>
      </w:r>
      <w:r>
        <w:t>avljanje djelatnosti Dječjeg vrtića.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765.886,21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982.620,56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128,3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 xml:space="preserve">Rashodi za zaposlene povećani su za 216.734,35 EUR u odnosu na prethodno izvještajno razdoblje. Povećanje je rezultat većeg broja zaposlenih koji je bio nužan zbog povećanog broja upisane djece te osiguranja odgovarajućih kadrovskih uvjeta za kvalitetno i </w:t>
      </w:r>
      <w:r>
        <w:t>sigurno provođenje programa predškolskog odgoja i obrazovanja.</w:t>
      </w:r>
    </w:p>
    <w:p w:rsidR="002000B6" w:rsidRDefault="00BD31A2">
      <w:r>
        <w:t>Dodatno povećanje rashoda posljedica je otvaranja nove jasličke skupine, za čiji je rad bilo potrebno zaposliti dodatne odgojitelje i osigurati potreban broj zaposlenika. Povećanje rashoda za zaposlene također uključuje usklađivanje plaća i ostalih prava z</w:t>
      </w:r>
      <w:r>
        <w:t>aposlenika sukladno važećim propisima i odlukama osnivača.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Materijal i dijelovi za </w:t>
            </w:r>
            <w:r>
              <w:rPr>
                <w:sz w:val="18"/>
              </w:rPr>
              <w:t>tekuće i investicijsko održavanje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645,32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2.215,75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343,4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Materijal i dijelovi za tekuće i investicijsko održavanje povećani su u odnosu na prethodno izvještajno razdoblje zbog povećanih potreba za nabavu materijala i dijelova potrebnih za popravak uređaja te izvođenje radova i prilagodbu instalacija u prostorija</w:t>
      </w:r>
      <w:r>
        <w:t>ma kuhinje, s ciljem osiguravanja nesmetanog obavljanja djelatnosti prehrane djece.</w:t>
      </w:r>
      <w:r>
        <w:br/>
        <w:t> 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lastRenderedPageBreak/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59.464,80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22.313,18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37,5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Usluge tekućeg i investicijskog održavanja smanjene su za 37.151,62 EUR u odnosu na prethodno izvještajno razdoblje. Razlog smanjenja je činjenica da su u prethodnom razdoblju realizirana značajnija ulaganja u održavanje, prvenstveno na građevinskom objekt</w:t>
      </w:r>
      <w:r>
        <w:t>u.</w:t>
      </w:r>
    </w:p>
    <w:p w:rsidR="002000B6" w:rsidRDefault="00BD31A2">
      <w:r>
        <w:t>U izvještajnom razdoblju realizirani su planirani poslovi tekućeg i investicijskog održavanja, među kojima su čišćenje klima uređaja, ugradnja roleta te soboslikarski radovi. Navedeni zahvati provedeni su radi održavanja funkcionalnosti prostora, pobolj</w:t>
      </w:r>
      <w:r>
        <w:t>šanja uvjeta boravka djece i zaposlenika.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Pristojbe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2.276,00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4.043,21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177,6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Pristojbe i naknade povećane su u odnosu na prethodno izvještajno razdoblje zbog povećanja broja zaposlenika, što je utjecalo na povećanje obveze plaćanja novčane naknade zbog nezapošljavanja osoba s invaliditetom. Sukladno važećim propisima, poslodavci ko</w:t>
      </w:r>
      <w:r>
        <w:t>ji ne ispune propisanu obvezu zapošljavanja osoba s invaliditetom obvezni su plaćati navedenu naknadu, a njezin iznos ovisi o broju zaposlenih.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bookmarkStart w:id="0" w:name="_GoBack"/>
      <w:bookmarkEnd w:id="0"/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</w:t>
            </w:r>
            <w:r>
              <w:rPr>
                <w:b/>
                <w:sz w:val="18"/>
              </w:rPr>
              <w:t xml:space="preserve">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financijski rashodi (šifre 3431 do 3434)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1.373,45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129,40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9,4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 xml:space="preserve">Financijski rashodi značajno su smanjeni u odnosu na prethodno izvještajno razdoblje kao rezultat gašenja dosadašnjeg poslovnog računa te prelaska na poslovanje putem računa gradske riznice. Prelaskom na novi način poslovanja smanjeni su troškovi povezani </w:t>
      </w:r>
      <w:r>
        <w:t>s vođenjem i korištenjem poslovnog računa, što je rezultiralo manjim financijskim rashodima u izvještajnom razdoblju.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lastRenderedPageBreak/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</w:t>
            </w:r>
            <w:r>
              <w:rPr>
                <w:b/>
                <w:sz w:val="18"/>
              </w:rPr>
              <w:t xml:space="preserve">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poslovanja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28.206,77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56.622,40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200,7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Obračunati prihodi poslovanja – nenaplaćeni povećani su u odnosu na prethodno izvještajno razdoblje zbog povećanja broja korisnika usluga Dječjeg vrtića te povećanja cijene programa od 1. siječnja 2026. godine, sukladno odluci osnivača.</w:t>
      </w:r>
    </w:p>
    <w:p w:rsidR="002000B6" w:rsidRDefault="00BD31A2">
      <w:r>
        <w:t>Povećanjem cijena P</w:t>
      </w:r>
      <w:r>
        <w:t>rograma vrtića i jaslica razmjerno je povećan i iznos obračunatih, a do kraja izvještajnog razdoblja nenaplaćenih prihoda poslovanja. Navedeni iznos odnosi se na potraživanja za pružene usluge korisnicima koja će biti naplaćena u narednom razdoblju.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</w:t>
      </w:r>
      <w:r>
        <w:rPr>
          <w:sz w:val="28"/>
        </w:rPr>
        <w:t>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1.311,69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2.017,65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153,8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Uredska oprema i namještaj povećani su u odnosu na prethodno izvještajno razdoblje zbog nabave novih garderobnih ormara za odgojitelje i pomoćno osoblje. Nabava je bila potrebna zbog povećanja broja zaposlenih uslijed potreba ustanove, kako bi se osigurali</w:t>
      </w:r>
      <w:r>
        <w:t xml:space="preserve"> odgovarajući uvjeti za rad zaposlenika i usklađenost prostora s potrebama poslovanja Dječjeg vrtića.</w:t>
      </w:r>
      <w:r>
        <w:br/>
        <w:t> 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Oprema za održavanje i zaštitu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144,21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2.960,25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2052,7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Povećanje na opremi za održavanje i zaštitu zbog realizacije planirane nadogradnje interfonskog sustava. Ulaganjem u poboljšanje sustava komunikacije omogućena je kvalitetnija i učinkovitija komunikacija između roditelja i odgojitelja, osobito u situacijam</w:t>
      </w:r>
      <w:r>
        <w:t>a ranijeg preuzimanja djece. Navedena nadogradnja bila je potrebna zbog primjene sigurnosnog zaključavanja ulaznih prostora tijekom boravka djece u vrtiću.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sz w:val="28"/>
        </w:rPr>
        <w:lastRenderedPageBreak/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</w:t>
            </w:r>
            <w:r>
              <w:rPr>
                <w:b/>
                <w:sz w:val="18"/>
              </w:rPr>
              <w:t>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Sufinanciranje cijene usluge, participacije i slično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203.942,20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253.840,95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124,5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Ostvareni rast prihoda rezultat je usklađivanja prihoda s novom cijenom programa te povećanim brojem upisane djece, a ostvaren je u skladu s planiranim prihodima za izvještajno razdoblje.</w:t>
      </w:r>
    </w:p>
    <w:p w:rsidR="002000B6" w:rsidRDefault="00BD31A2">
      <w:r>
        <w:t>Prihodi od roditelja za financiranje cijene programa vrtića i jaslic</w:t>
      </w:r>
      <w:r>
        <w:t>a povećani su za 49.898,75 EUR u odnosu na prethodno izvještajno razdoblje. Povećanje je rezultat povećanja cijene usluga vrtića i jaslica od 1. siječnja 2026. godine.</w:t>
      </w:r>
    </w:p>
    <w:p w:rsidR="002000B6" w:rsidRDefault="00BD31A2">
      <w:r>
        <w:t> </w:t>
      </w:r>
    </w:p>
    <w:p w:rsidR="002000B6" w:rsidRDefault="002000B6"/>
    <w:p w:rsidR="002000B6" w:rsidRDefault="00BD31A2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:rsidR="002000B6" w:rsidRDefault="00BD31A2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2000B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Indeks </w:t>
            </w:r>
            <w:r>
              <w:rPr>
                <w:b/>
                <w:sz w:val="18"/>
              </w:rPr>
              <w:t>(%)</w:t>
            </w:r>
          </w:p>
        </w:tc>
      </w:tr>
      <w:tr w:rsidR="002000B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2000B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2.535,24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000B6" w:rsidRDefault="00BD31A2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2000B6" w:rsidRDefault="002000B6">
      <w:pPr>
        <w:spacing w:after="0"/>
      </w:pPr>
    </w:p>
    <w:p w:rsidR="002000B6" w:rsidRDefault="00BD31A2">
      <w:r>
        <w:t>Dospjele obveze odnose se na obveze nastale redovnim poslovanjem Dječjeg vrtića. Ustanova kontinuirano podmiruje svoje obveze u skladu s raspoloživim financijskim sredstvima i rokovima dospijeća te se očekuje njihovo podmirenje tijekom narednog izvještajno</w:t>
      </w:r>
      <w:r>
        <w:t>g razdoblja. </w:t>
      </w:r>
    </w:p>
    <w:p w:rsidR="002000B6" w:rsidRDefault="002000B6"/>
    <w:p w:rsidR="00686C8D" w:rsidRDefault="00686C8D" w:rsidP="00686C8D">
      <w:r>
        <w:t>Osoba za kontakt: Ljubica Dugeč, tel: 032/831-112</w:t>
      </w:r>
    </w:p>
    <w:p w:rsidR="00686C8D" w:rsidRDefault="00686C8D" w:rsidP="00686C8D"/>
    <w:p w:rsidR="00686C8D" w:rsidRDefault="00686C8D" w:rsidP="00686C8D"/>
    <w:p w:rsidR="00686C8D" w:rsidRDefault="00686C8D" w:rsidP="00686C8D"/>
    <w:p w:rsidR="00686C8D" w:rsidRDefault="00686C8D" w:rsidP="00686C8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Zakonski predstavnik</w:t>
      </w:r>
    </w:p>
    <w:p w:rsidR="00686C8D" w:rsidRDefault="00686C8D" w:rsidP="00686C8D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Amalija Romić</w:t>
      </w:r>
    </w:p>
    <w:p w:rsidR="00686C8D" w:rsidRDefault="00686C8D"/>
    <w:sectPr w:rsidR="00686C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0B6"/>
    <w:rsid w:val="002000B6"/>
    <w:rsid w:val="00686C8D"/>
    <w:rsid w:val="00BD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D4DCA"/>
  <w15:docId w15:val="{0FB8CE04-913B-4879-A2F6-03951A0DD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6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C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1629</Words>
  <Characters>9289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Ljubica</dc:creator>
  <cp:lastModifiedBy>Ljubica</cp:lastModifiedBy>
  <cp:revision>2</cp:revision>
  <cp:lastPrinted>2026-07-15T10:02:00Z</cp:lastPrinted>
  <dcterms:created xsi:type="dcterms:W3CDTF">2026-07-15T10:10:00Z</dcterms:created>
  <dcterms:modified xsi:type="dcterms:W3CDTF">2026-07-15T10:10:00Z</dcterms:modified>
</cp:coreProperties>
</file>