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bdf31369644946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37496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Gradski muzej Županja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III 2026.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102.879,93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77.972,14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72.762,66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75.836,71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30.117,27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2.135,43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4,3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30.000,00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1.300,00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4,3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117,27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835,43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712,4</w:t>
            </w:r>
          </w:p>
        </w:tc>
      </w:tr>
    </w:tbl>
    <w:p>
      <w:pPr>
        <w:spacing w:before="0" w:after="0"/>
      </w:pPr>
    </w:p>
    <w:p>
      <w:r>
        <w:t xml:space="preserve">Tekući višak prihoda je nastao za već primljena sredstva od Ministarstva kulture i medija Republike Hrvatske za prijavljeni projekt Monografije ''Tamburica od javora suva'' - tambure i tamburaši.</w:t>
      </w:r>
    </w:p>
    <w:p>
      <w:r>
        <w:t xml:space="preserve">Izuzev toga, financiranje je stabilno od nadležnog proračuna koji pokriva sve nastale planirane troškove.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Kao navedeno u obveznoj bilješci za višak prihoda, dotični iznos se odnosi na projekt Monografije ''Tamburica od javora suva'' - tambure i tamburaši.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Kamate na oročena sredstva i depozite po viđenju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Uvodom sustava riznice zbog kojeg je poslovni račun zatvoren, više se ne prihoduju kamate na depozite po viđenom.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prihodi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233,20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Za razliku od prethodnog razdoblja, u tekućem nije bilo štete pokrivenim policom osiguranja ni dosad ostvarenih prihoda od organiziranih posjeta Muzeju.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redovne djelatnosti proračunskih korisnika (šifre 6711 do 6714)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102.645,41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76.372,14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74,4</w:t>
            </w:r>
          </w:p>
        </w:tc>
      </w:tr>
    </w:tbl>
    <w:p>
      <w:pPr>
        <w:spacing w:before="0" w:after="0"/>
      </w:pPr>
    </w:p>
    <w:p>
      <w:r>
        <w:t xml:space="preserve">Veliku razliku čine preostale rate za otplaćivanje eksponata prve nogometne lopte koje je započelo u kolovozu 2024. i završeno je u prethodnom izvještajnom razdoblju.</w:t>
      </w:r>
    </w:p>
    <w:p>
      <w:r>
        <w:t xml:space="preserve">Dotična razlika je vidljiva i na sveukupnim prihodima poslovanja (šifra/konto 6).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(bruto) (šifre 3111 do 3114)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37.701,88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41.431,17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109,9</w:t>
            </w:r>
          </w:p>
        </w:tc>
      </w:tr>
    </w:tbl>
    <w:p>
      <w:pPr>
        <w:spacing w:before="0" w:after="0"/>
      </w:pPr>
    </w:p>
    <w:p>
      <w:r>
        <w:t xml:space="preserve">Veća osnovica plaće je rezultat većih rashoda tekuće godine spram prethodne.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rashodi za zaposlene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2.334,02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3.642,19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156,0</w:t>
            </w:r>
          </w:p>
        </w:tc>
      </w:tr>
    </w:tbl>
    <w:p>
      <w:pPr>
        <w:spacing w:before="0" w:after="0"/>
      </w:pPr>
    </w:p>
    <w:p>
      <w:r>
        <w:t xml:space="preserve">U tekućem razdoblju se dogodila isplata uskrsnice i djelatniku je isplaćena potpora za smrt roditelja.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materijal i energiju (šifre 3221 do 3227)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4.222,76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3.176,76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75,2</w:t>
            </w:r>
          </w:p>
        </w:tc>
      </w:tr>
    </w:tbl>
    <w:p>
      <w:pPr>
        <w:spacing w:before="0" w:after="0"/>
      </w:pPr>
    </w:p>
    <w:p>
      <w:r>
        <w:t xml:space="preserve">U prethodnoj godini bila je potreba za nabavom kutija za spremanje i arhiviranje postava u posjedu Muzeja kako bi sigurno bili zbrinuti i skladišteni.</w:t>
      </w:r>
    </w:p>
    <w:p>
      <w:r>
        <w:t xml:space="preserve">Uz to je prethodne godine u izvještajnom razdoblju nabavljeno sitnog inventara, točnije vanjski hard disk kao back up digitalnih dokumenata i nabavljeno je materijala za bojenje zidova u vlastitoj režiji.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tekućeg i investicijskog održavanja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3.309,12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1.508,26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45,6</w:t>
            </w:r>
          </w:p>
        </w:tc>
      </w:tr>
    </w:tbl>
    <w:p>
      <w:pPr>
        <w:spacing w:before="0" w:after="0"/>
      </w:pPr>
    </w:p>
    <w:p>
      <w:r>
        <w:t xml:space="preserve">Prethodne godine u izvještajnom razdoblju je dobavljač fakturirao elektroradove za blagdansko ukrašavanje.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promidžbe i informiranja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1.482,26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2.033,13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137,2</w:t>
            </w:r>
          </w:p>
        </w:tc>
      </w:tr>
    </w:tbl>
    <w:p>
      <w:pPr>
        <w:spacing w:before="0" w:after="0"/>
      </w:pPr>
    </w:p>
    <w:p>
      <w:r>
        <w:t xml:space="preserve">Muzej dalje nastavlja promociju kroz promidžbeni materijal, sada sa tematskim kalendarom u boji.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Zakupnine i najamnine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44,4</w:t>
            </w:r>
          </w:p>
        </w:tc>
      </w:tr>
    </w:tbl>
    <w:p>
      <w:pPr>
        <w:spacing w:before="0" w:after="0"/>
      </w:pPr>
    </w:p>
    <w:p>
      <w:r>
        <w:t xml:space="preserve">U prethodnoj godini bio je najam glazbene opreme.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Intelektualne i osobne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6.455,09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1.416,81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21,9</w:t>
            </w:r>
          </w:p>
        </w:tc>
      </w:tr>
    </w:tbl>
    <w:p>
      <w:pPr>
        <w:spacing w:before="0" w:after="0"/>
      </w:pPr>
    </w:p>
    <w:p>
      <w:r>
        <w:t xml:space="preserve">Prethodna godina u izvještajnom razdoblju bilježi puno bogatiji program zbog obilježavanja 70 godina muzeja i uz nastavak bogatog programa Noći muzeja sa suradnjom sa vanjskim suradnicima u obliku ugovora o djelu i autorskih honorara.</w:t>
      </w:r>
    </w:p>
    <w:p>
      <w:r>
        <w:t xml:space="preserve">Uz to je prethodne godine u sklopu programa Šokačkog sijela organizirano press putovanje za praćenje događaja.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1.418,86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6.864,56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483,8</w:t>
            </w:r>
          </w:p>
        </w:tc>
      </w:tr>
    </w:tbl>
    <w:p>
      <w:pPr>
        <w:spacing w:before="0" w:after="0"/>
      </w:pPr>
    </w:p>
    <w:p>
      <w:r>
        <w:t xml:space="preserve">U tekućem razdoblju su fakturirane razlike za tiskovine i grafičke pripreme koje su nabavljene u prethodnoj godini uz tiskovine za programe i projekte u 2026. godini.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5.469,20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4.906,90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89,7</w:t>
            </w:r>
          </w:p>
        </w:tc>
      </w:tr>
    </w:tbl>
    <w:p>
      <w:pPr>
        <w:spacing w:before="0" w:after="0"/>
      </w:pPr>
    </w:p>
    <w:p>
      <w:r>
        <w:t xml:space="preserve">Kao već navedeno, prethodna godina je u izvještajnom razdoblju je imala veći program spram tekuće godine zbog čega su i troškovi ugošćavanja posjetitelja manji, dok ostali rashodi su na sličnoj razini.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Bankarske usluge i usluge platnog prometa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149,05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3,3</w:t>
            </w:r>
          </w:p>
        </w:tc>
      </w:tr>
    </w:tbl>
    <w:p>
      <w:pPr>
        <w:spacing w:before="0" w:after="0"/>
      </w:pPr>
    </w:p>
    <w:p>
      <w:r>
        <w:t xml:space="preserve">Ulaskom u sustav riznice ukinut je poslovni račun proračunskog korisnika.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- nenaplaćeni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4.900,00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108,9</w:t>
            </w:r>
          </w:p>
        </w:tc>
      </w:tr>
    </w:tbl>
    <w:p>
      <w:pPr>
        <w:spacing w:before="0" w:after="0"/>
      </w:pPr>
    </w:p>
    <w:p>
      <w:r>
        <w:t xml:space="preserve">Odnosi se na ostatak iznosa po realizaciji projekta ka Ministarstvu, Monografija ''Tamburica od javora suva'' za koji su odobrena sredstva i od Vukovarsko-srijemske županije i odobren projekt Informatizacije muzeja i nabava nove opreme (Ministarstvo).</w:t>
      </w:r>
    </w:p>
    <w:p>
      <w:r>
        <w:t xml:space="preserve">Uz to je ostvarena poslovna suradnja sa Gradskom knjižnicom i čitaonicom Vinkovci.</w:t>
      </w:r>
    </w:p>
    <w:p>
      <w:r>
        <w:t xml:space="preserve">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4,3</w:t>
            </w:r>
          </w:p>
        </w:tc>
      </w:tr>
    </w:tbl>
    <w:p>
      <w:pPr>
        <w:spacing w:before="0" w:after="0"/>
      </w:pPr>
    </w:p>
    <w:p>
      <w:r>
        <w:t xml:space="preserve">Dok se prethodne godine otplatila prva nogometna lopta, tekuće izvještajno razdoblje bilježi otkup građe za etnološku zbirku Muzeja (Vuneni prekrivači za zid-Ponjavci i Muška kapa-Hrvatka, urešena sa zlatovezom koja je jedini sačuvani originalni primjerak s područja Cvelferije).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novčanih sredstava na kraju izvještajnog razdoblja (šifre 11P + '11-dugov.' - '11-potraž.')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11K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19.273,00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Rezultat prelaska u sustav riznice.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5a8c5dcd57ee4e64" /></Relationships>
</file>